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3">
      <w:pPr>
        <w:rPr>
          <w:rFonts w:ascii="Verdana" w:cs="Verdana" w:eastAsia="Verdana" w:hAnsi="Verdana"/>
          <w:b w:val="1"/>
          <w:sz w:val="28"/>
          <w:szCs w:val="28"/>
        </w:rPr>
      </w:pPr>
      <w:r w:rsidDel="00000000" w:rsidR="00000000" w:rsidRPr="00000000">
        <w:rPr>
          <w:rFonts w:ascii="Verdana" w:cs="Verdana" w:eastAsia="Verdana" w:hAnsi="Verdana"/>
          <w:b w:val="1"/>
          <w:smallCaps w:val="1"/>
          <w:sz w:val="28"/>
          <w:szCs w:val="28"/>
          <w:rtl w:val="0"/>
        </w:rPr>
        <w:t xml:space="preserve">ERINNERUNGSKULTUR UND VERANTWORTUNG </w:t>
        <w:br w:type="textWrapping"/>
      </w:r>
      <w:r w:rsidDel="00000000" w:rsidR="00000000" w:rsidRPr="00000000">
        <w:rPr>
          <w:rtl w:val="0"/>
        </w:rPr>
      </w:r>
    </w:p>
    <w:p w:rsidR="00000000" w:rsidDel="00000000" w:rsidP="00000000" w:rsidRDefault="00000000" w:rsidRPr="00000000" w14:paraId="00000004">
      <w:pPr>
        <w:rPr>
          <w:rFonts w:ascii="Goethe FF Clan" w:cs="Goethe FF Clan" w:eastAsia="Goethe FF Clan" w:hAnsi="Goethe FF Clan"/>
          <w:b w:val="1"/>
          <w:color w:val="000000"/>
          <w:sz w:val="22"/>
          <w:szCs w:val="22"/>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Zielgruppe</w:t>
      </w:r>
      <w:r w:rsidDel="00000000" w:rsidR="00000000" w:rsidRPr="00000000">
        <w:rPr>
          <w:rFonts w:ascii="Verdana" w:cs="Verdana" w:eastAsia="Verdana" w:hAnsi="Verdana"/>
          <w:sz w:val="24"/>
          <w:szCs w:val="24"/>
          <w:rtl w:val="0"/>
        </w:rPr>
        <w:t xml:space="preserve">: DaF 10. Klasse</w:t>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Stichworte</w:t>
      </w:r>
      <w:r w:rsidDel="00000000" w:rsidR="00000000" w:rsidRPr="00000000">
        <w:rPr>
          <w:rFonts w:ascii="Verdana" w:cs="Verdana" w:eastAsia="Verdana" w:hAnsi="Verdana"/>
          <w:sz w:val="24"/>
          <w:szCs w:val="24"/>
          <w:rtl w:val="0"/>
        </w:rPr>
        <w:t xml:space="preserve">: Erinnerung, Verdrängung, individuelle und gesellschaftliche Verantwortung, kollektives Gedächtnis  </w:t>
      </w:r>
    </w:p>
    <w:p w:rsidR="00000000" w:rsidDel="00000000" w:rsidP="00000000" w:rsidRDefault="00000000" w:rsidRPr="00000000" w14:paraId="00000008">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9">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Webseite(n)</w:t>
      </w:r>
      <w:r w:rsidDel="00000000" w:rsidR="00000000" w:rsidRPr="00000000">
        <w:rPr>
          <w:rFonts w:ascii="Verdana" w:cs="Verdana" w:eastAsia="Verdana" w:hAnsi="Verdana"/>
          <w:sz w:val="24"/>
          <w:szCs w:val="24"/>
          <w:rtl w:val="0"/>
        </w:rPr>
        <w:t xml:space="preserve">: </w:t>
      </w:r>
      <w:hyperlink r:id="rId7">
        <w:r w:rsidDel="00000000" w:rsidR="00000000" w:rsidRPr="00000000">
          <w:rPr>
            <w:rFonts w:ascii="Verdana" w:cs="Verdana" w:eastAsia="Verdana" w:hAnsi="Verdana"/>
            <w:color w:val="0000ff"/>
            <w:sz w:val="24"/>
            <w:szCs w:val="24"/>
            <w:u w:val="single"/>
            <w:rtl w:val="0"/>
          </w:rPr>
          <w:t xml:space="preserve">https://www.vielfalt-mediathek.de/wp-content/uploads/2021/07/NDS-Saar_Erinnerung-mus-gelebt-werden_vielfalt-mediathek.pdf</w:t>
        </w:r>
      </w:hyperlink>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A">
      <w:pPr>
        <w:rPr>
          <w:rFonts w:ascii="Verdana" w:cs="Verdana" w:eastAsia="Verdana" w:hAnsi="Verdana"/>
          <w:sz w:val="24"/>
          <w:szCs w:val="24"/>
        </w:rPr>
      </w:pPr>
      <w:hyperlink r:id="rId8">
        <w:r w:rsidDel="00000000" w:rsidR="00000000" w:rsidRPr="00000000">
          <w:rPr>
            <w:rFonts w:ascii="Verdana" w:cs="Verdana" w:eastAsia="Verdana" w:hAnsi="Verdana"/>
            <w:color w:val="0000ff"/>
            <w:sz w:val="24"/>
            <w:szCs w:val="24"/>
            <w:u w:val="single"/>
            <w:rtl w:val="0"/>
          </w:rPr>
          <w:t xml:space="preserve">https://erinnerung-leben.de/materialien/handreichung/</w:t>
        </w:r>
      </w:hyperlink>
      <w:r w:rsidDel="00000000" w:rsidR="00000000" w:rsidRPr="00000000">
        <w:rPr>
          <w:rtl w:val="0"/>
        </w:rPr>
      </w:r>
    </w:p>
    <w:p w:rsidR="00000000" w:rsidDel="00000000" w:rsidP="00000000" w:rsidRDefault="00000000" w:rsidRPr="00000000" w14:paraId="0000000B">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Autor</w:t>
      </w:r>
      <w:r w:rsidDel="00000000" w:rsidR="00000000" w:rsidRPr="00000000">
        <w:rPr>
          <w:rFonts w:ascii="Verdana" w:cs="Verdana" w:eastAsia="Verdana" w:hAnsi="Verdana"/>
          <w:i w:val="1"/>
          <w:sz w:val="24"/>
          <w:szCs w:val="24"/>
          <w:rtl w:val="0"/>
        </w:rPr>
        <w:t xml:space="preserve">: </w:t>
      </w:r>
      <w:r w:rsidDel="00000000" w:rsidR="00000000" w:rsidRPr="00000000">
        <w:rPr>
          <w:rFonts w:ascii="Verdana" w:cs="Verdana" w:eastAsia="Verdana" w:hAnsi="Verdana"/>
          <w:sz w:val="24"/>
          <w:szCs w:val="24"/>
          <w:rtl w:val="0"/>
        </w:rPr>
        <w:t xml:space="preserve">Alex Schuster </w:t>
      </w:r>
    </w:p>
    <w:p w:rsidR="00000000" w:rsidDel="00000000" w:rsidP="00000000" w:rsidRDefault="00000000" w:rsidRPr="00000000" w14:paraId="0000000D">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Beschreibung</w:t>
      </w:r>
      <w:r w:rsidDel="00000000" w:rsidR="00000000" w:rsidRPr="00000000">
        <w:rPr>
          <w:rFonts w:ascii="Verdana" w:cs="Verdana" w:eastAsia="Verdana" w:hAnsi="Verdana"/>
          <w:sz w:val="24"/>
          <w:szCs w:val="24"/>
          <w:rtl w:val="0"/>
        </w:rPr>
        <w:t xml:space="preserve">: Das Heft „Erinnerung muss gelebt werden,“ vom Netzwerk für Demokratie und Courage Saar e.V. erstellt, enthält sechs essayistische Beiträge zum Thema der Erinnerungsarbeit sowie zwei Unterrichtseinheiten. Insbesondere die erste Unterrichtseinheit, „Warum Erinnern nicht enden darf", eignet sich für die 10. Klasse. </w:t>
      </w:r>
    </w:p>
    <w:p w:rsidR="00000000" w:rsidDel="00000000" w:rsidP="00000000" w:rsidRDefault="00000000" w:rsidRPr="00000000" w14:paraId="0000000F">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0">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Groblernziele (nach Schuster)</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1">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Die Teilnehmenden (TN) kennen ein Konzept von Erinnerung. Sie verstehen, wie Erinnerungsprozesse ablaufen und begreifen Vergessen und Verdrängung als Prozesse, die mit Erinnerung zusammenhängen.</w:t>
      </w:r>
    </w:p>
    <w:p w:rsidR="00000000" w:rsidDel="00000000" w:rsidP="00000000" w:rsidRDefault="00000000" w:rsidRPr="00000000" w14:paraId="00000012">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Die TN kennen ausgewählte Beispiele, wie Erinnerung (in Familiengeschichte/ kollektivem Gedächtnis) verändert wird. Sie verstehen, dass dies Auswirkungen auf Betroffene hat.</w:t>
      </w:r>
    </w:p>
    <w:p w:rsidR="00000000" w:rsidDel="00000000" w:rsidP="00000000" w:rsidRDefault="00000000" w:rsidRPr="00000000" w14:paraId="00000013">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Die TN erkennen, dass Erinnerungsprozesse in ihrer individuellen und in gesellschaftlicher Gesamtverantwortung liegen. Sie sind motiviert, sich mit ihrer eigenen Verantwortung für Erinnerung auseinanderzusetzen.</w:t>
      </w:r>
    </w:p>
    <w:p w:rsidR="00000000" w:rsidDel="00000000" w:rsidP="00000000" w:rsidRDefault="00000000" w:rsidRPr="00000000" w14:paraId="00000014">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5">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Dauer</w:t>
      </w:r>
      <w:r w:rsidDel="00000000" w:rsidR="00000000" w:rsidRPr="00000000">
        <w:rPr>
          <w:rFonts w:ascii="Verdana" w:cs="Verdana" w:eastAsia="Verdana" w:hAnsi="Verdana"/>
          <w:sz w:val="24"/>
          <w:szCs w:val="24"/>
          <w:rtl w:val="0"/>
        </w:rPr>
        <w:t xml:space="preserve">: 90 Minuten</w:t>
      </w:r>
    </w:p>
    <w:p w:rsidR="00000000" w:rsidDel="00000000" w:rsidP="00000000" w:rsidRDefault="00000000" w:rsidRPr="00000000" w14:paraId="00000016">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7">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Sprachniveau</w:t>
      </w:r>
      <w:r w:rsidDel="00000000" w:rsidR="00000000" w:rsidRPr="00000000">
        <w:rPr>
          <w:rFonts w:ascii="Verdana" w:cs="Verdana" w:eastAsia="Verdana" w:hAnsi="Verdana"/>
          <w:sz w:val="24"/>
          <w:szCs w:val="24"/>
          <w:rtl w:val="0"/>
        </w:rPr>
        <w:t xml:space="preserve">: B2</w:t>
      </w:r>
    </w:p>
    <w:p w:rsidR="00000000" w:rsidDel="00000000" w:rsidP="00000000" w:rsidRDefault="00000000" w:rsidRPr="00000000" w14:paraId="00000018">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9">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Hinweise zur Anwendung</w:t>
      </w:r>
      <w:r w:rsidDel="00000000" w:rsidR="00000000" w:rsidRPr="00000000">
        <w:rPr>
          <w:rFonts w:ascii="Verdana" w:cs="Verdana" w:eastAsia="Verdana" w:hAnsi="Verdana"/>
          <w:sz w:val="24"/>
          <w:szCs w:val="24"/>
          <w:rtl w:val="0"/>
        </w:rPr>
        <w:t xml:space="preserve">: Für die Überleitung von der ersten Aktivität „Wie ich (mich) erinnere“ zur zweiten Aktivität „Wozu erinnern?“ können LK relevante Beispiele des kollektiven Gedächtnisses einbringen, wie etwa: der kulturelle Völkermord an der indigenen Bevölkerung und der „Sixties Scoop“, der antifeministische Amoklauf an der Polytechnischen Hochschule Montréal (1989);</w:t>
      </w: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der Anschlag auf das Islamische Kulturzentrum in Quebec City (2017); Anti-asiatischer Rassismus in Folge der COVID-Pandemie; Angriffe auf jüdische Einrichtungen und Individuen in Folge des 7.Oktober 2023.</w:t>
      </w:r>
    </w:p>
    <w:p w:rsidR="00000000" w:rsidDel="00000000" w:rsidP="00000000" w:rsidRDefault="00000000" w:rsidRPr="00000000" w14:paraId="0000001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Die zweite Aktivität „Wozu erinnern?“ lässt sich besonders gut an den kanadischen Kontext anpassen. Hierfür haben wir einige relevante Zitate bereitgestellt (Handreichung 1). Diese Aufgabe bietet die Gelegenheit, die Truth and Reconciliation Commission of Canada / Commission de vérité et réconciliation du Canada zu thematisieren. Zudem haben wir eine zusätzliche Handreichung mit Redemitteln zur Argumentation für das Sprachniveau B2 erstellt (Handreichung 2).</w:t>
      </w:r>
    </w:p>
    <w:p w:rsidR="00000000" w:rsidDel="00000000" w:rsidP="00000000" w:rsidRDefault="00000000" w:rsidRPr="00000000" w14:paraId="0000001C">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D">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Zusätzliche Materialien:</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Handreichung 1: Zitate für den kanadischen Kontext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Handreichung 2: Argumentationshilfen</w:t>
      </w:r>
    </w:p>
    <w:p w:rsidR="00000000" w:rsidDel="00000000" w:rsidP="00000000" w:rsidRDefault="00000000" w:rsidRPr="00000000" w14:paraId="00000020">
      <w:pPr>
        <w:rPr>
          <w:rFonts w:ascii="Verdana" w:cs="Verdana" w:eastAsia="Verdana" w:hAnsi="Verdana"/>
          <w:sz w:val="24"/>
          <w:szCs w:val="24"/>
        </w:rPr>
      </w:pPr>
      <w:r w:rsidDel="00000000" w:rsidR="00000000" w:rsidRPr="00000000">
        <w:rPr>
          <w:rtl w:val="0"/>
        </w:rPr>
      </w:r>
    </w:p>
    <w:sectPr>
      <w:headerReference r:id="rId9" w:type="default"/>
      <w:footerReference r:id="rId10" w:type="default"/>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ourier New"/>
  <w:font w:name="Goethe FF Cl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 w:val="right" w:leader="none" w:pos="9000"/>
      </w:tabs>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_____________________________________________________________________________________________________</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 w:val="right" w:leader="none" w:pos="9000"/>
      </w:tabs>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Goethe-Institut Toronto</w:t>
      <w:tab/>
      <w:tab/>
      <w:t xml:space="preserve">Verfasserin : Marlo Burks</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www.goethe.de/toronto</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jc w:val="right"/>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rPr>
        <w:rFonts w:ascii="Verdana" w:cs="Verdana" w:eastAsia="Verdana" w:hAnsi="Verdana"/>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36"/>
        <w:tab w:val="right" w:leader="none" w:pos="9072"/>
        <w:tab w:val="right" w:leader="none" w:pos="9070"/>
      </w:tabs>
      <w:jc w:val="right"/>
      <w:rPr>
        <w:rFonts w:ascii="Verdana" w:cs="Verdana" w:eastAsia="Verdana" w:hAnsi="Verdana"/>
        <w:color w:val="000000"/>
        <w:sz w:val="14"/>
        <w:szCs w:val="14"/>
      </w:rPr>
    </w:pPr>
    <w:r w:rsidDel="00000000" w:rsidR="00000000" w:rsidRPr="00000000">
      <w:rPr>
        <w:color w:val="000000"/>
        <w:rtl w:val="0"/>
      </w:rPr>
      <w:tab/>
      <w:tab/>
    </w:r>
    <w:r w:rsidDel="00000000" w:rsidR="00000000" w:rsidRPr="00000000">
      <w:rPr>
        <w:color w:val="000000"/>
      </w:rPr>
      <w:drawing>
        <wp:inline distB="0" distT="0" distL="0" distR="0">
          <wp:extent cx="1990725" cy="9144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0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jc w:val="right"/>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jc w:val="right"/>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jc w:val="right"/>
      <w:rPr>
        <w:rFonts w:ascii="Verdana" w:cs="Verdana" w:eastAsia="Verdana" w:hAnsi="Verdana"/>
        <w:color w:val="000000"/>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cs="Courier New" w:hAnsi="Courier New"/>
    </w:rPr>
  </w:style>
  <w:style w:type="table" w:styleId="Tabellengitternetz" w:customStyle="1">
    <w:name w:val="Tabellengitternetz"/>
    <w:basedOn w:val="TableNormal"/>
    <w:rsid w:val="00E91F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204E0D"/>
    <w:rPr>
      <w:rFonts w:ascii="Tahoma" w:cs="Tahoma" w:hAnsi="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096"/>
    <w:rPr>
      <w:color w:val="0000ff" w:themeColor="hyperlink"/>
      <w:u w:val="single"/>
    </w:rPr>
  </w:style>
  <w:style w:type="character" w:styleId="UnresolvedMention">
    <w:name w:val="Unresolved Mention"/>
    <w:basedOn w:val="DefaultParagraphFont"/>
    <w:uiPriority w:val="99"/>
    <w:semiHidden w:val="1"/>
    <w:unhideWhenUsed w:val="1"/>
    <w:rsid w:val="00897096"/>
    <w:rPr>
      <w:color w:val="605e5c"/>
      <w:shd w:color="auto" w:fill="e1dfdd" w:val="clear"/>
    </w:rPr>
  </w:style>
  <w:style w:type="paragraph" w:styleId="ListParagraph">
    <w:name w:val="List Paragraph"/>
    <w:basedOn w:val="Normal"/>
    <w:uiPriority w:val="34"/>
    <w:qFormat w:val="1"/>
    <w:rsid w:val="00546439"/>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lfalt-mediathek.de/wp-content/uploads/2021/07/NDS-Saar_Erinnerung-mus-gelebt-werden_vielfalt-mediathek.pdf" TargetMode="External"/><Relationship Id="rId8" Type="http://schemas.openxmlformats.org/officeDocument/2006/relationships/hyperlink" Target="https://erinnerung-leben.de/materialien/handreichu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9+o23RRSsgyoD//3E6UyTsCPA==">CgMxLjA4AHIhMVRZZVI1cThja25jQ2ZuamZ4TDVRU3hOYkJEX0x3eFZC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2024-09-20T14:38:00Z</dcterms:created>
  <dc:creator>z00411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xd_Signature</vt:lpwstr>
  </property>
  <property fmtid="{D5CDD505-2E9C-101B-9397-08002B2CF9AE}" pid="6" name="TemplateUrl">
    <vt:lpwstr>TemplateUrl</vt:lpwstr>
  </property>
  <property fmtid="{D5CDD505-2E9C-101B-9397-08002B2CF9AE}" pid="7" name="display_urn:schemas-microsoft-com:office:office#Author">
    <vt:lpwstr>Winterhagen Sabine</vt:lpwstr>
  </property>
  <property fmtid="{D5CDD505-2E9C-101B-9397-08002B2CF9AE}" pid="8" name="xd_ProgID">
    <vt:lpwstr>xd_ProgID</vt:lpwstr>
  </property>
  <property fmtid="{D5CDD505-2E9C-101B-9397-08002B2CF9AE}" pid="9" name="ContentTypeId">
    <vt:lpwstr>0x01010028F3561BFD92F848AFFB46742721D7C1</vt:lpwstr>
  </property>
</Properties>
</file>